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Wallace</w:t>
      </w:r>
      <w:r>
        <w:rPr>
          <w:spacing w:val="-16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Services</w:t>
      </w:r>
      <w:r>
        <w:rPr>
          <w:spacing w:val="-15"/>
        </w:rPr>
        <w:t> </w:t>
      </w:r>
      <w:r>
        <w:rPr>
          <w:spacing w:val="-2"/>
        </w:rPr>
        <w:t>District</w:t>
      </w:r>
    </w:p>
    <w:p>
      <w:pPr>
        <w:pStyle w:val="BodyText"/>
        <w:ind w:left="6046" w:right="6045"/>
        <w:jc w:val="center"/>
      </w:pP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</w:t>
      </w:r>
      <w:r>
        <w:rPr>
          <w:spacing w:val="-11"/>
        </w:rPr>
        <w:t> </w:t>
      </w:r>
      <w:r>
        <w:rPr/>
        <w:t>Meeting</w:t>
      </w:r>
      <w:r>
        <w:rPr>
          <w:spacing w:val="-11"/>
        </w:rPr>
        <w:t> </w:t>
      </w:r>
      <w:r>
        <w:rPr/>
        <w:t>Minutes October 18, 2023</w:t>
      </w:r>
    </w:p>
    <w:p>
      <w:pPr>
        <w:spacing w:line="240" w:lineRule="auto" w:before="10"/>
        <w:rPr>
          <w:b/>
          <w:sz w:val="20"/>
        </w:rPr>
      </w:pPr>
    </w:p>
    <w:p>
      <w:pPr>
        <w:pStyle w:val="BodyText"/>
        <w:tabs>
          <w:tab w:pos="2260" w:val="left" w:leader="none"/>
        </w:tabs>
        <w:ind w:left="100" w:right="8047"/>
      </w:pPr>
      <w:r>
        <w:rPr>
          <w:spacing w:val="-2"/>
        </w:rPr>
        <w:t>Attendees:</w:t>
      </w:r>
      <w:r>
        <w:rPr/>
        <w:tab/>
        <w:t>Matt</w:t>
      </w:r>
      <w:r>
        <w:rPr>
          <w:spacing w:val="-6"/>
        </w:rPr>
        <w:t> </w:t>
      </w:r>
      <w:r>
        <w:rPr/>
        <w:t>Winslow,</w:t>
      </w:r>
      <w:r>
        <w:rPr>
          <w:spacing w:val="-5"/>
        </w:rPr>
        <w:t> </w:t>
      </w:r>
      <w:r>
        <w:rPr/>
        <w:t>Eric</w:t>
      </w:r>
      <w:r>
        <w:rPr>
          <w:spacing w:val="-7"/>
        </w:rPr>
        <w:t> </w:t>
      </w:r>
      <w:r>
        <w:rPr/>
        <w:t>Baysinger,</w:t>
      </w:r>
      <w:r>
        <w:rPr>
          <w:spacing w:val="-4"/>
        </w:rPr>
        <w:t> </w:t>
      </w:r>
      <w:r>
        <w:rPr/>
        <w:t>Steve</w:t>
      </w:r>
      <w:r>
        <w:rPr>
          <w:spacing w:val="-7"/>
        </w:rPr>
        <w:t> </w:t>
      </w:r>
      <w:r>
        <w:rPr/>
        <w:t>Martin,</w:t>
      </w:r>
      <w:r>
        <w:rPr>
          <w:spacing w:val="-6"/>
        </w:rPr>
        <w:t> </w:t>
      </w:r>
      <w:r>
        <w:rPr/>
        <w:t>Mike</w:t>
      </w:r>
      <w:r>
        <w:rPr>
          <w:spacing w:val="-7"/>
        </w:rPr>
        <w:t> </w:t>
      </w:r>
      <w:r>
        <w:rPr/>
        <w:t>Jones </w:t>
      </w:r>
      <w:r>
        <w:rPr>
          <w:spacing w:val="-2"/>
        </w:rPr>
        <w:t>Absent:</w:t>
      </w:r>
      <w:r>
        <w:rPr/>
        <w:tab/>
      </w:r>
      <w:r>
        <w:rPr>
          <w:spacing w:val="-4"/>
        </w:rPr>
        <w:t>None</w:t>
      </w:r>
    </w:p>
    <w:p>
      <w:pPr>
        <w:pStyle w:val="BodyText"/>
        <w:tabs>
          <w:tab w:pos="2260" w:val="left" w:leader="none"/>
        </w:tabs>
        <w:spacing w:before="1"/>
        <w:ind w:left="100"/>
      </w:pPr>
      <w:r>
        <w:rPr>
          <w:spacing w:val="-2"/>
        </w:rPr>
        <w:t>Staff:</w:t>
      </w:r>
      <w:r>
        <w:rPr/>
        <w:tab/>
        <w:t>Barbara</w:t>
      </w:r>
      <w:r>
        <w:rPr>
          <w:spacing w:val="-7"/>
        </w:rPr>
        <w:t> </w:t>
      </w:r>
      <w:r>
        <w:rPr/>
        <w:t>Kascht,</w:t>
      </w:r>
      <w:r>
        <w:rPr>
          <w:spacing w:val="-7"/>
        </w:rPr>
        <w:t> </w:t>
      </w:r>
      <w:r>
        <w:rPr/>
        <w:t>General</w:t>
      </w:r>
      <w:r>
        <w:rPr>
          <w:spacing w:val="-9"/>
        </w:rPr>
        <w:t> </w:t>
      </w:r>
      <w:r>
        <w:rPr>
          <w:spacing w:val="-2"/>
        </w:rPr>
        <w:t>Manager</w:t>
      </w:r>
    </w:p>
    <w:p>
      <w:pPr>
        <w:spacing w:line="240" w:lineRule="auto" w:before="1" w:after="0"/>
        <w:rPr>
          <w:b/>
          <w:sz w:val="21"/>
        </w:rPr>
      </w:pPr>
    </w:p>
    <w:tbl>
      <w:tblPr>
        <w:tblW w:w="0" w:type="auto"/>
        <w:jc w:val="left"/>
        <w:tblInd w:w="2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5564"/>
        <w:gridCol w:w="2772"/>
        <w:gridCol w:w="2596"/>
      </w:tblGrid>
      <w:tr>
        <w:trPr>
          <w:trHeight w:val="475" w:hRule="atLeast"/>
        </w:trPr>
        <w:tc>
          <w:tcPr>
            <w:tcW w:w="4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65"/>
              <w:rPr>
                <w:b/>
                <w:sz w:val="21"/>
              </w:rPr>
            </w:pPr>
            <w:r>
              <w:rPr>
                <w:b/>
                <w:sz w:val="21"/>
              </w:rPr>
              <w:t>AGENDA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55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122" w:right="21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DISCUSSION</w:t>
            </w:r>
          </w:p>
        </w:tc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47" w:right="92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</w:t>
            </w:r>
          </w:p>
        </w:tc>
        <w:tc>
          <w:tcPr>
            <w:tcW w:w="2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6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OWNERSHIP</w:t>
            </w:r>
          </w:p>
        </w:tc>
      </w:tr>
      <w:tr>
        <w:trPr>
          <w:trHeight w:val="669" w:hRule="atLeast"/>
        </w:trPr>
        <w:tc>
          <w:tcPr>
            <w:tcW w:w="4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193"/>
              <w:rPr>
                <w:b/>
                <w:sz w:val="19"/>
              </w:rPr>
            </w:pPr>
            <w:r>
              <w:rPr>
                <w:b/>
                <w:sz w:val="19"/>
              </w:rPr>
              <w:t>Call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2"/>
                <w:sz w:val="19"/>
              </w:rPr>
              <w:t> Order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right="126"/>
              <w:rPr>
                <w:sz w:val="19"/>
              </w:rPr>
            </w:pPr>
            <w:r>
              <w:rPr>
                <w:sz w:val="19"/>
              </w:rPr>
              <w:t>Call to order at: 7:00pm.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Steve Martin advised that Matt Winslow is unable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serve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Board,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resident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Wallace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CSD.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Quorum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established.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09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  <w:r>
              <w:rPr>
                <w:b/>
                <w:sz w:val="19"/>
              </w:rPr>
              <w:tab/>
              <w:t>Public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Comment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9"/>
              <w:rPr>
                <w:sz w:val="19"/>
              </w:rPr>
            </w:pPr>
            <w:r>
              <w:rPr>
                <w:sz w:val="19"/>
              </w:rPr>
              <w:t>Larry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Howen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quoted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following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Government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Code,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“No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person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shall be a candidate for the Board of Directors, unless he or she is the voter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of the District or proposed District. No person shall be a candidate of the Board that is elected by divisions, or from division unless he or she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is a voter of that division or proposed division.”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86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  <w:r>
              <w:rPr>
                <w:b/>
                <w:sz w:val="19"/>
              </w:rPr>
              <w:tab/>
              <w:t>Approval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Minutes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6"/>
              <w:rPr>
                <w:sz w:val="19"/>
              </w:rPr>
            </w:pPr>
            <w:r>
              <w:rPr>
                <w:sz w:val="19"/>
              </w:rPr>
              <w:t>September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minutes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were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available.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They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tabled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until </w:t>
            </w:r>
            <w:r>
              <w:rPr>
                <w:spacing w:val="-2"/>
                <w:sz w:val="19"/>
              </w:rPr>
              <w:t>November.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30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1193" w:right="600" w:hanging="361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3.</w:t>
            </w:r>
            <w:r>
              <w:rPr>
                <w:b/>
                <w:sz w:val="19"/>
              </w:rPr>
              <w:tab/>
              <w:t>Financial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Review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Bills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for Payment (Action)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6"/>
              <w:rPr>
                <w:sz w:val="19"/>
              </w:rPr>
            </w:pPr>
            <w:r>
              <w:rPr>
                <w:sz w:val="19"/>
              </w:rPr>
              <w:t>Steve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Martin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advised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now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able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ACH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transfers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from the County to our bank account. Also discussed was using the credit card to pay vendors, reoccurring bill payments, automatic payroll taxes, and workings of the California Class account.</w:t>
            </w:r>
          </w:p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Bill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payments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were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presented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approved.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AYES: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z w:val="19"/>
              </w:rPr>
              <w:t>NOES: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0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ABSENT: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0"/>
                <w:sz w:val="19"/>
              </w:rPr>
              <w:t>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Mike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Jones</w:t>
            </w:r>
          </w:p>
        </w:tc>
      </w:tr>
      <w:tr>
        <w:trPr>
          <w:trHeight w:val="3242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4.</w:t>
            </w:r>
            <w:r>
              <w:rPr>
                <w:b/>
                <w:sz w:val="19"/>
              </w:rPr>
              <w:tab/>
              <w:t>Project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Updates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6"/>
              <w:rPr>
                <w:sz w:val="19"/>
              </w:rPr>
            </w:pPr>
            <w:r>
              <w:rPr>
                <w:sz w:val="19"/>
              </w:rPr>
              <w:t>Dam: Eric Baysinger contacted the State regarding dam repair completion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date.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Reed 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repairs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October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21-28.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We can file for an extension until November 30 at no additional cost.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Weed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abatement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finalized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Sierra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Foothill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Pest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Control.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26"/>
              <w:rPr>
                <w:sz w:val="19"/>
              </w:rPr>
            </w:pPr>
            <w:r>
              <w:rPr>
                <w:sz w:val="19"/>
              </w:rPr>
              <w:t>Fence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90%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complete,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remaining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10%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next two weeks. Gates are now at both ends of the road.</w:t>
            </w:r>
          </w:p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Gate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opener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remote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problems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were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discussed.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126"/>
              <w:rPr>
                <w:sz w:val="19"/>
              </w:rPr>
            </w:pPr>
            <w:r>
              <w:rPr>
                <w:sz w:val="19"/>
              </w:rPr>
              <w:t>Steve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Martin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presented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information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barrier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curb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gate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kiosk. He will post the basic design on the website for community input.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5.</w:t>
            </w:r>
            <w:r>
              <w:rPr>
                <w:b/>
                <w:sz w:val="19"/>
              </w:rPr>
              <w:tab/>
              <w:t>Director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Comments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None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top="640" w:bottom="565" w:left="260" w:right="260"/>
        </w:sectPr>
      </w:pPr>
    </w:p>
    <w:tbl>
      <w:tblPr>
        <w:tblW w:w="0" w:type="auto"/>
        <w:jc w:val="left"/>
        <w:tblInd w:w="2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5564"/>
        <w:gridCol w:w="2772"/>
        <w:gridCol w:w="2596"/>
      </w:tblGrid>
      <w:tr>
        <w:trPr>
          <w:trHeight w:val="475" w:hRule="atLeast"/>
        </w:trPr>
        <w:tc>
          <w:tcPr>
            <w:tcW w:w="4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65"/>
              <w:rPr>
                <w:b/>
                <w:sz w:val="21"/>
              </w:rPr>
            </w:pPr>
            <w:r>
              <w:rPr>
                <w:b/>
                <w:sz w:val="21"/>
              </w:rPr>
              <w:t>AGENDA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ITEM</w:t>
            </w:r>
          </w:p>
        </w:tc>
        <w:tc>
          <w:tcPr>
            <w:tcW w:w="55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122" w:right="21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DISCUSSION</w:t>
            </w:r>
          </w:p>
        </w:tc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47" w:right="92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ACTION</w:t>
            </w:r>
          </w:p>
        </w:tc>
        <w:tc>
          <w:tcPr>
            <w:tcW w:w="2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6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OWNERSHIP</w:t>
            </w:r>
          </w:p>
        </w:tc>
      </w:tr>
      <w:tr>
        <w:trPr>
          <w:trHeight w:val="755" w:hRule="atLeast"/>
        </w:trPr>
        <w:tc>
          <w:tcPr>
            <w:tcW w:w="4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93" w:val="left" w:leader="none"/>
              </w:tabs>
              <w:spacing w:before="85"/>
              <w:ind w:left="83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6.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Adjourn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rPr>
                <w:sz w:val="19"/>
              </w:rPr>
            </w:pPr>
            <w:r>
              <w:rPr>
                <w:sz w:val="19"/>
              </w:rPr>
              <w:t>Adjourned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at: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7:35pm.</w:t>
            </w:r>
          </w:p>
          <w:p>
            <w:pPr>
              <w:pStyle w:val="TableParagraph"/>
              <w:spacing w:before="120"/>
              <w:rPr>
                <w:sz w:val="19"/>
              </w:rPr>
            </w:pPr>
            <w:r>
              <w:rPr>
                <w:sz w:val="19"/>
              </w:rPr>
              <w:t>Next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meeting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scheduled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November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15,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2023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rPr>
                <w:sz w:val="19"/>
              </w:rPr>
            </w:pPr>
            <w:r>
              <w:rPr>
                <w:sz w:val="19"/>
              </w:rPr>
              <w:t>Motion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adjourn</w:t>
            </w:r>
          </w:p>
        </w:tc>
        <w:tc>
          <w:tcPr>
            <w:tcW w:w="2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113"/>
              <w:rPr>
                <w:sz w:val="19"/>
              </w:rPr>
            </w:pPr>
            <w:r>
              <w:rPr>
                <w:spacing w:val="-2"/>
                <w:sz w:val="19"/>
              </w:rPr>
              <w:t>Consensus</w:t>
            </w:r>
          </w:p>
        </w:tc>
      </w:tr>
    </w:tbl>
    <w:p>
      <w:pPr>
        <w:spacing w:line="240" w:lineRule="auto" w:before="7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5840" w:h="12240" w:orient="landscape"/>
          <w:pgMar w:top="700" w:bottom="280" w:left="260" w:right="260"/>
        </w:sectPr>
      </w:pPr>
    </w:p>
    <w:p>
      <w:pPr>
        <w:spacing w:before="102"/>
        <w:ind w:left="205" w:right="0" w:firstLine="0"/>
        <w:jc w:val="left"/>
        <w:rPr>
          <w:sz w:val="21"/>
        </w:rPr>
      </w:pPr>
      <w:r>
        <w:rPr>
          <w:sz w:val="21"/>
        </w:rPr>
        <w:t>Recorded</w:t>
      </w:r>
      <w:r>
        <w:rPr>
          <w:spacing w:val="-7"/>
          <w:sz w:val="21"/>
        </w:rPr>
        <w:t> </w:t>
      </w:r>
      <w:r>
        <w:rPr>
          <w:spacing w:val="-5"/>
          <w:sz w:val="21"/>
        </w:rPr>
        <w:t>by:</w:t>
      </w:r>
    </w:p>
    <w:p>
      <w:pPr>
        <w:tabs>
          <w:tab w:pos="836" w:val="left" w:leader="none"/>
          <w:tab w:pos="5349" w:val="left" w:leader="none"/>
        </w:tabs>
        <w:spacing w:before="102"/>
        <w:ind w:left="205" w:right="0" w:firstLine="0"/>
        <w:jc w:val="left"/>
        <w:rPr>
          <w:sz w:val="21"/>
        </w:rPr>
      </w:pPr>
      <w:r>
        <w:rPr/>
        <w:br w:type="column"/>
      </w:r>
      <w:r>
        <w:rPr>
          <w:sz w:val="21"/>
          <w:u w:val="single"/>
        </w:rPr>
        <w:tab/>
        <w:t>Barbara</w:t>
      </w:r>
      <w:r>
        <w:rPr>
          <w:spacing w:val="-4"/>
          <w:sz w:val="21"/>
          <w:u w:val="single"/>
        </w:rPr>
        <w:t> </w:t>
      </w:r>
      <w:r>
        <w:rPr>
          <w:spacing w:val="-2"/>
          <w:sz w:val="21"/>
          <w:u w:val="single"/>
        </w:rPr>
        <w:t>Kascht</w:t>
      </w:r>
      <w:r>
        <w:rPr>
          <w:sz w:val="21"/>
          <w:u w:val="single"/>
        </w:rPr>
        <w:tab/>
      </w:r>
    </w:p>
    <w:p>
      <w:pPr>
        <w:tabs>
          <w:tab w:pos="1119" w:val="left" w:leader="none"/>
          <w:tab w:pos="3553" w:val="left" w:leader="none"/>
        </w:tabs>
        <w:spacing w:before="102"/>
        <w:ind w:left="20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Date: </w:t>
      </w:r>
      <w:r>
        <w:rPr>
          <w:sz w:val="21"/>
          <w:u w:val="single"/>
        </w:rPr>
        <w:tab/>
        <w:t>December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19,</w:t>
      </w:r>
      <w:r>
        <w:rPr>
          <w:spacing w:val="-5"/>
          <w:sz w:val="21"/>
          <w:u w:val="single"/>
        </w:rPr>
        <w:t> </w:t>
      </w:r>
      <w:r>
        <w:rPr>
          <w:spacing w:val="-4"/>
          <w:sz w:val="21"/>
          <w:u w:val="single"/>
        </w:rPr>
        <w:t>2023</w:t>
      </w:r>
      <w:r>
        <w:rPr>
          <w:sz w:val="21"/>
          <w:u w:val="single"/>
        </w:rPr>
        <w:tab/>
      </w:r>
    </w:p>
    <w:sectPr>
      <w:type w:val="continuous"/>
      <w:pgSz w:w="15840" w:h="12240" w:orient="landscape"/>
      <w:pgMar w:top="640" w:bottom="280" w:left="260" w:right="260"/>
      <w:cols w:num="3" w:equalWidth="0">
        <w:col w:w="1282" w:space="53"/>
        <w:col w:w="5390" w:space="68"/>
        <w:col w:w="8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4932" w:right="4932"/>
      <w:jc w:val="center"/>
    </w:pPr>
    <w:rPr>
      <w:rFonts w:ascii="Garamond" w:hAnsi="Garamond" w:eastAsia="Garamond" w:cs="Garamond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12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Frey</dc:creator>
  <dcterms:created xsi:type="dcterms:W3CDTF">2024-05-28T19:49:57Z</dcterms:created>
  <dcterms:modified xsi:type="dcterms:W3CDTF">2024-05-28T19:49:57Z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